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136.0" w:type="dxa"/>
        <w:jc w:val="left"/>
        <w:tblInd w:w="-72.0" w:type="dxa"/>
        <w:tblLayout w:type="fixed"/>
        <w:tblLook w:val="0000"/>
      </w:tblPr>
      <w:tblGrid>
        <w:gridCol w:w="2700"/>
        <w:gridCol w:w="6660"/>
        <w:gridCol w:w="2776"/>
        <w:tblGridChange w:id="0">
          <w:tblGrid>
            <w:gridCol w:w="2700"/>
            <w:gridCol w:w="6660"/>
            <w:gridCol w:w="2776"/>
          </w:tblGrid>
        </w:tblGridChange>
      </w:tblGrid>
      <w:tr>
        <w:trPr>
          <w:cantSplit w:val="0"/>
          <w:trHeight w:val="299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tabs>
                <w:tab w:val="left" w:pos="612"/>
              </w:tabs>
              <w:ind w:left="-9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DAVID Y. IGE</w:t>
            </w:r>
          </w:p>
          <w:p w:rsidR="00000000" w:rsidDel="00000000" w:rsidP="00000000" w:rsidRDefault="00000000" w:rsidRPr="00000000" w14:paraId="00000003">
            <w:pPr>
              <w:tabs>
                <w:tab w:val="left" w:pos="612"/>
              </w:tabs>
              <w:ind w:left="-90" w:firstLine="0"/>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GOVERNOR</w:t>
            </w:r>
          </w:p>
          <w:p w:rsidR="00000000" w:rsidDel="00000000" w:rsidP="00000000" w:rsidRDefault="00000000" w:rsidRPr="00000000" w14:paraId="00000004">
            <w:pPr>
              <w:ind w:left="342" w:firstLine="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5">
            <w:pPr>
              <w:ind w:left="342" w:firstLine="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6">
            <w:pPr>
              <w:ind w:left="342" w:firstLine="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7">
            <w:pPr>
              <w:ind w:left="342" w:firstLine="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8">
            <w:pPr>
              <w:ind w:left="342" w:firstLine="0"/>
              <w:jc w:val="both"/>
              <w:rPr>
                <w:rFonts w:ascii="Arial" w:cs="Arial" w:eastAsia="Arial" w:hAnsi="Arial"/>
                <w:sz w:val="12"/>
                <w:szCs w:val="12"/>
              </w:rPr>
            </w:pPr>
            <w:r w:rsidDel="00000000" w:rsidR="00000000" w:rsidRPr="00000000">
              <w:rPr>
                <w:rFonts w:ascii="Arial" w:cs="Arial" w:eastAsia="Arial" w:hAnsi="Arial"/>
                <w:sz w:val="12"/>
                <w:szCs w:val="12"/>
                <w:rtl w:val="0"/>
              </w:rPr>
              <w:t xml:space="preserve"> </w:t>
            </w:r>
          </w:p>
          <w:p w:rsidR="00000000" w:rsidDel="00000000" w:rsidP="00000000" w:rsidRDefault="00000000" w:rsidRPr="00000000" w14:paraId="00000009">
            <w:pPr>
              <w:ind w:left="342" w:firstLine="0"/>
              <w:jc w:val="both"/>
              <w:rPr>
                <w:rFonts w:ascii="Arial" w:cs="Arial" w:eastAsia="Arial" w:hAnsi="Arial"/>
                <w:b w:val="1"/>
                <w:sz w:val="14"/>
                <w:szCs w:val="14"/>
              </w:rPr>
            </w:pPr>
            <w:r w:rsidDel="00000000" w:rsidR="00000000" w:rsidRPr="00000000">
              <w:rPr>
                <w:rFonts w:ascii="Arial" w:cs="Arial" w:eastAsia="Arial" w:hAnsi="Arial"/>
                <w:sz w:val="14"/>
                <w:szCs w:val="14"/>
                <w:rtl w:val="0"/>
              </w:rPr>
              <w:t xml:space="preserve">          </w:t>
            </w:r>
            <w:r w:rsidDel="00000000" w:rsidR="00000000" w:rsidRPr="00000000">
              <w:rPr>
                <w:rtl w:val="0"/>
              </w:rPr>
            </w:r>
          </w:p>
          <w:p w:rsidR="00000000" w:rsidDel="00000000" w:rsidP="00000000" w:rsidRDefault="00000000" w:rsidRPr="00000000" w14:paraId="0000000A">
            <w:pPr>
              <w:ind w:left="-9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DEAN CEVALLOS</w:t>
            </w:r>
          </w:p>
          <w:p w:rsidR="00000000" w:rsidDel="00000000" w:rsidP="00000000" w:rsidRDefault="00000000" w:rsidRPr="00000000" w14:paraId="0000000B">
            <w:pPr>
              <w:ind w:left="-90" w:firstLine="0"/>
              <w:jc w:val="both"/>
              <w:rPr>
                <w:rFonts w:ascii="Arial" w:cs="Arial" w:eastAsia="Arial" w:hAnsi="Arial"/>
                <w:b w:val="1"/>
                <w:sz w:val="14"/>
                <w:szCs w:val="14"/>
              </w:rPr>
            </w:pPr>
            <w:r w:rsidDel="00000000" w:rsidR="00000000" w:rsidRPr="00000000">
              <w:rPr>
                <w:rFonts w:ascii="Arial" w:cs="Arial" w:eastAsia="Arial" w:hAnsi="Arial"/>
                <w:sz w:val="14"/>
                <w:szCs w:val="14"/>
                <w:rtl w:val="0"/>
              </w:rPr>
              <w:t xml:space="preserve">PRINCIPAL</w:t>
            </w:r>
            <w:r w:rsidDel="00000000" w:rsidR="00000000" w:rsidRPr="00000000">
              <w:rPr>
                <w:rtl w:val="0"/>
              </w:rPr>
            </w:r>
          </w:p>
          <w:p w:rsidR="00000000" w:rsidDel="00000000" w:rsidP="00000000" w:rsidRDefault="00000000" w:rsidRPr="00000000" w14:paraId="0000000C">
            <w:pPr>
              <w:pStyle w:val="Heading3"/>
              <w:tabs>
                <w:tab w:val="left" w:pos="689"/>
              </w:tabs>
              <w:spacing w:after="0" w:before="0" w:lineRule="auto"/>
              <w:jc w:val="center"/>
              <w:rPr>
                <w:rFonts w:ascii="Arial" w:cs="Arial" w:eastAsia="Arial" w:hAnsi="Arial"/>
                <w:b w:val="0"/>
                <w:sz w:val="24"/>
                <w:szCs w:val="24"/>
              </w:rPr>
            </w:pPr>
            <w:r w:rsidDel="00000000" w:rsidR="00000000" w:rsidRPr="00000000">
              <w:rPr>
                <w:rFonts w:ascii="Arial" w:cs="Arial" w:eastAsia="Arial" w:hAnsi="Arial"/>
                <w:b w:val="0"/>
                <w:sz w:val="14"/>
                <w:szCs w:val="14"/>
                <w:rtl w:val="0"/>
              </w:rPr>
              <w:t xml:space="preserve">    </w:t>
            </w:r>
            <w:r w:rsidDel="00000000" w:rsidR="00000000" w:rsidRPr="00000000">
              <w:rPr>
                <w:rtl w:val="0"/>
              </w:rPr>
            </w:r>
          </w:p>
          <w:p w:rsidR="00000000" w:rsidDel="00000000" w:rsidP="00000000" w:rsidRDefault="00000000" w:rsidRPr="00000000" w14:paraId="0000000D">
            <w:pPr>
              <w:ind w:left="342" w:firstLine="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E">
            <w:pPr>
              <w:ind w:left="342" w:firstLine="0"/>
              <w:jc w:val="both"/>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ind w:left="-378" w:hanging="17.99999999999997"/>
              <w:jc w:val="center"/>
              <w:rPr>
                <w:sz w:val="28"/>
                <w:szCs w:val="28"/>
              </w:rPr>
            </w:pPr>
            <w:r w:rsidDel="00000000" w:rsidR="00000000" w:rsidRPr="00000000">
              <w:rPr>
                <w:b w:val="1"/>
                <w:sz w:val="28"/>
                <w:szCs w:val="28"/>
              </w:rPr>
              <w:drawing>
                <wp:inline distB="0" distT="0" distL="0" distR="0">
                  <wp:extent cx="800100" cy="8001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001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ind w:left="-378" w:right="-18" w:firstLine="0"/>
              <w:jc w:val="center"/>
              <w:rPr>
                <w:b w:val="1"/>
                <w:sz w:val="28"/>
                <w:szCs w:val="28"/>
              </w:rPr>
            </w:pPr>
            <w:r w:rsidDel="00000000" w:rsidR="00000000" w:rsidRPr="00000000">
              <w:rPr>
                <w:b w:val="1"/>
                <w:sz w:val="28"/>
                <w:szCs w:val="28"/>
                <w:rtl w:val="0"/>
              </w:rPr>
              <w:t xml:space="preserve">STATE OF HAWAII</w:t>
            </w:r>
          </w:p>
          <w:p w:rsidR="00000000" w:rsidDel="00000000" w:rsidP="00000000" w:rsidRDefault="00000000" w:rsidRPr="00000000" w14:paraId="00000011">
            <w:pPr>
              <w:pStyle w:val="Heading3"/>
              <w:spacing w:before="0" w:lineRule="auto"/>
              <w:ind w:left="-378"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DEPARTMENT OF EDUCATION</w:t>
            </w:r>
          </w:p>
          <w:p w:rsidR="00000000" w:rsidDel="00000000" w:rsidP="00000000" w:rsidRDefault="00000000" w:rsidRPr="00000000" w14:paraId="00000012">
            <w:pPr>
              <w:pStyle w:val="Heading3"/>
              <w:spacing w:before="0" w:lineRule="auto"/>
              <w:ind w:left="-378" w:firstLine="0"/>
              <w:jc w:val="center"/>
              <w:rPr>
                <w:sz w:val="18"/>
                <w:szCs w:val="18"/>
              </w:rPr>
            </w:pPr>
            <w:r w:rsidDel="00000000" w:rsidR="00000000" w:rsidRPr="00000000">
              <w:rPr>
                <w:rtl w:val="0"/>
              </w:rPr>
            </w:r>
          </w:p>
          <w:p w:rsidR="00000000" w:rsidDel="00000000" w:rsidP="00000000" w:rsidRDefault="00000000" w:rsidRPr="00000000" w14:paraId="00000013">
            <w:pPr>
              <w:pStyle w:val="Heading3"/>
              <w:spacing w:before="0" w:lineRule="auto"/>
              <w:ind w:left="-378" w:firstLine="0"/>
              <w:jc w:val="center"/>
              <w:rPr>
                <w:sz w:val="24"/>
                <w:szCs w:val="24"/>
              </w:rPr>
            </w:pPr>
            <w:r w:rsidDel="00000000" w:rsidR="00000000" w:rsidRPr="00000000">
              <w:rPr>
                <w:sz w:val="24"/>
                <w:szCs w:val="24"/>
                <w:rtl w:val="0"/>
              </w:rPr>
              <w:t xml:space="preserve">KEA</w:t>
            </w:r>
            <w:r w:rsidDel="00000000" w:rsidR="00000000" w:rsidRPr="00000000">
              <w:rPr>
                <w:color w:val="000000"/>
                <w:sz w:val="24"/>
                <w:szCs w:val="24"/>
                <w:shd w:fill="f9f9f9" w:val="clear"/>
                <w:rtl w:val="0"/>
              </w:rPr>
              <w:t xml:space="preserve">ʻ</w:t>
            </w:r>
            <w:r w:rsidDel="00000000" w:rsidR="00000000" w:rsidRPr="00000000">
              <w:rPr>
                <w:sz w:val="24"/>
                <w:szCs w:val="24"/>
                <w:rtl w:val="0"/>
              </w:rPr>
              <w:t xml:space="preserve">AU HIGH SCHOOL</w:t>
            </w:r>
          </w:p>
          <w:p w:rsidR="00000000" w:rsidDel="00000000" w:rsidP="00000000" w:rsidRDefault="00000000" w:rsidRPr="00000000" w14:paraId="00000014">
            <w:pPr>
              <w:pStyle w:val="Heading3"/>
              <w:spacing w:before="0" w:lineRule="auto"/>
              <w:ind w:left="-378" w:firstLine="0"/>
              <w:jc w:val="center"/>
              <w:rPr>
                <w:b w:val="0"/>
                <w:sz w:val="18"/>
                <w:szCs w:val="18"/>
              </w:rPr>
            </w:pPr>
            <w:r w:rsidDel="00000000" w:rsidR="00000000" w:rsidRPr="00000000">
              <w:rPr>
                <w:b w:val="0"/>
                <w:sz w:val="18"/>
                <w:szCs w:val="18"/>
                <w:rtl w:val="0"/>
              </w:rPr>
              <w:t xml:space="preserve">16-725 Kea</w:t>
            </w:r>
            <w:r w:rsidDel="00000000" w:rsidR="00000000" w:rsidRPr="00000000">
              <w:rPr>
                <w:color w:val="000000"/>
                <w:sz w:val="18"/>
                <w:szCs w:val="18"/>
                <w:shd w:fill="f9f9f9" w:val="clear"/>
                <w:rtl w:val="0"/>
              </w:rPr>
              <w:t xml:space="preserve">ʻ</w:t>
            </w:r>
            <w:r w:rsidDel="00000000" w:rsidR="00000000" w:rsidRPr="00000000">
              <w:rPr>
                <w:b w:val="0"/>
                <w:sz w:val="18"/>
                <w:szCs w:val="18"/>
                <w:rtl w:val="0"/>
              </w:rPr>
              <w:t xml:space="preserve">au-P</w:t>
            </w:r>
            <w:r w:rsidDel="00000000" w:rsidR="00000000" w:rsidRPr="00000000">
              <w:rPr>
                <w:rFonts w:ascii="Times New Roman" w:cs="Times New Roman" w:eastAsia="Times New Roman" w:hAnsi="Times New Roman"/>
                <w:b w:val="0"/>
                <w:sz w:val="18"/>
                <w:szCs w:val="18"/>
                <w:rtl w:val="0"/>
              </w:rPr>
              <w:t xml:space="preserve">ā</w:t>
            </w:r>
            <w:r w:rsidDel="00000000" w:rsidR="00000000" w:rsidRPr="00000000">
              <w:rPr>
                <w:b w:val="0"/>
                <w:sz w:val="18"/>
                <w:szCs w:val="18"/>
                <w:rtl w:val="0"/>
              </w:rPr>
              <w:t xml:space="preserve">hoa Rd.</w:t>
            </w:r>
          </w:p>
          <w:p w:rsidR="00000000" w:rsidDel="00000000" w:rsidP="00000000" w:rsidRDefault="00000000" w:rsidRPr="00000000" w14:paraId="00000015">
            <w:pPr>
              <w:pStyle w:val="Heading3"/>
              <w:spacing w:before="0" w:lineRule="auto"/>
              <w:ind w:left="-378" w:firstLine="0"/>
              <w:jc w:val="center"/>
              <w:rPr>
                <w:b w:val="0"/>
                <w:sz w:val="18"/>
                <w:szCs w:val="18"/>
              </w:rPr>
            </w:pPr>
            <w:r w:rsidDel="00000000" w:rsidR="00000000" w:rsidRPr="00000000">
              <w:rPr>
                <w:b w:val="0"/>
                <w:sz w:val="18"/>
                <w:szCs w:val="18"/>
                <w:rtl w:val="0"/>
              </w:rPr>
              <w:t xml:space="preserve">Kea</w:t>
            </w:r>
            <w:r w:rsidDel="00000000" w:rsidR="00000000" w:rsidRPr="00000000">
              <w:rPr>
                <w:color w:val="000000"/>
                <w:sz w:val="18"/>
                <w:szCs w:val="18"/>
                <w:shd w:fill="f9f9f9" w:val="clear"/>
                <w:rtl w:val="0"/>
              </w:rPr>
              <w:t xml:space="preserve">ʻ</w:t>
            </w:r>
            <w:r w:rsidDel="00000000" w:rsidR="00000000" w:rsidRPr="00000000">
              <w:rPr>
                <w:b w:val="0"/>
                <w:sz w:val="18"/>
                <w:szCs w:val="18"/>
                <w:rtl w:val="0"/>
              </w:rPr>
              <w:t xml:space="preserve">au, HI 96749</w:t>
            </w:r>
          </w:p>
          <w:p w:rsidR="00000000" w:rsidDel="00000000" w:rsidP="00000000" w:rsidRDefault="00000000" w:rsidRPr="00000000" w14:paraId="00000016">
            <w:pPr>
              <w:pStyle w:val="Heading3"/>
              <w:spacing w:before="0" w:lineRule="auto"/>
              <w:ind w:left="-378" w:firstLine="0"/>
              <w:jc w:val="center"/>
              <w:rPr>
                <w:sz w:val="18"/>
                <w:szCs w:val="18"/>
              </w:rPr>
            </w:pPr>
            <w:r w:rsidDel="00000000" w:rsidR="00000000" w:rsidRPr="00000000">
              <w:rPr>
                <w:b w:val="0"/>
                <w:sz w:val="18"/>
                <w:szCs w:val="18"/>
                <w:rtl w:val="0"/>
              </w:rPr>
              <w:t xml:space="preserve">(808) 313-3300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pStyle w:val="Heading1"/>
              <w:ind w:left="-108" w:right="-108" w:firstLine="0"/>
              <w:jc w:val="left"/>
              <w:rPr>
                <w:sz w:val="14"/>
                <w:szCs w:val="14"/>
              </w:rPr>
            </w:pPr>
            <w:r w:rsidDel="00000000" w:rsidR="00000000" w:rsidRPr="00000000">
              <w:rPr>
                <w:sz w:val="16"/>
                <w:szCs w:val="16"/>
                <w:rtl w:val="0"/>
              </w:rPr>
              <w:t xml:space="preserve">                          Keith Hiyashi</w:t>
            </w:r>
            <w:r w:rsidDel="00000000" w:rsidR="00000000" w:rsidRPr="00000000">
              <w:rPr>
                <w:rtl w:val="0"/>
              </w:rPr>
            </w:r>
          </w:p>
          <w:p w:rsidR="00000000" w:rsidDel="00000000" w:rsidP="00000000" w:rsidRDefault="00000000" w:rsidRPr="00000000" w14:paraId="00000018">
            <w:pPr>
              <w:pStyle w:val="Heading1"/>
              <w:ind w:left="-108" w:right="-108" w:firstLine="0"/>
              <w:rPr>
                <w:sz w:val="16"/>
                <w:szCs w:val="16"/>
              </w:rPr>
            </w:pPr>
            <w:r w:rsidDel="00000000" w:rsidR="00000000" w:rsidRPr="00000000">
              <w:rPr>
                <w:b w:val="0"/>
                <w:sz w:val="14"/>
                <w:szCs w:val="14"/>
                <w:rtl w:val="0"/>
              </w:rPr>
              <w:t xml:space="preserve">                 SUPERINTENDENT</w:t>
            </w:r>
            <w:r w:rsidDel="00000000" w:rsidR="00000000" w:rsidRPr="00000000">
              <w:rPr>
                <w:rtl w:val="0"/>
              </w:rPr>
            </w:r>
          </w:p>
          <w:p w:rsidR="00000000" w:rsidDel="00000000" w:rsidP="00000000" w:rsidRDefault="00000000" w:rsidRPr="00000000" w14:paraId="00000019">
            <w:pPr>
              <w:jc w:val="right"/>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A">
            <w:pPr>
              <w:jc w:val="right"/>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B">
            <w:pPr>
              <w:jc w:val="right"/>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C">
            <w:pPr>
              <w:jc w:val="right"/>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D">
            <w:pPr>
              <w:jc w:val="right"/>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E">
            <w:pPr>
              <w:jc w:val="right"/>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F">
            <w:pPr>
              <w:jc w:val="right"/>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0">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jc w:val="right"/>
              <w:rPr>
                <w:rFonts w:ascii="Arial" w:cs="Arial" w:eastAsia="Arial" w:hAnsi="Arial"/>
                <w:sz w:val="28"/>
                <w:szCs w:val="28"/>
              </w:rPr>
            </w:pPr>
            <w:r w:rsidDel="00000000" w:rsidR="00000000" w:rsidRPr="00000000">
              <w:rPr>
                <w:rtl w:val="0"/>
              </w:rPr>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tabs>
                <w:tab w:val="left" w:pos="612"/>
              </w:tabs>
              <w:ind w:left="-90" w:firstLine="0"/>
              <w:jc w:val="both"/>
              <w:rPr>
                <w:rFonts w:ascii="Arial" w:cs="Arial" w:eastAsia="Arial" w:hAnsi="Arial"/>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ind w:left="-378" w:hanging="17.99999999999997"/>
              <w:jc w:val="center"/>
              <w:rPr>
                <w:b w:val="1"/>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pStyle w:val="Heading1"/>
              <w:ind w:left="-108" w:right="-108" w:firstLine="0"/>
              <w:jc w:val="left"/>
              <w:rPr>
                <w:sz w:val="16"/>
                <w:szCs w:val="16"/>
              </w:rPr>
            </w:pPr>
            <w:r w:rsidDel="00000000" w:rsidR="00000000" w:rsidRPr="00000000">
              <w:rPr>
                <w:rtl w:val="0"/>
              </w:rPr>
            </w:r>
          </w:p>
        </w:tc>
      </w:tr>
    </w:tbl>
    <w:p w:rsidR="00000000" w:rsidDel="00000000" w:rsidP="00000000" w:rsidRDefault="00000000" w:rsidRPr="00000000" w14:paraId="00000027">
      <w:pPr>
        <w:ind w:hanging="36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ind w:left="720" w:hanging="72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BOE POLICY 101-14</w:t>
      </w:r>
    </w:p>
    <w:p w:rsidR="00000000" w:rsidDel="00000000" w:rsidP="00000000" w:rsidRDefault="00000000" w:rsidRPr="00000000" w14:paraId="00000029">
      <w:pPr>
        <w:ind w:left="720" w:hanging="72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FAMILY AND COMMUNITY ENGAGEMENT/PARTNERSHIP</w:t>
      </w:r>
    </w:p>
    <w:p w:rsidR="00000000" w:rsidDel="00000000" w:rsidP="00000000" w:rsidRDefault="00000000" w:rsidRPr="00000000" w14:paraId="0000002A">
      <w:pPr>
        <w:ind w:left="720" w:hanging="720"/>
        <w:jc w:val="center"/>
        <w:rPr>
          <w:rFonts w:ascii="Arial" w:cs="Arial" w:eastAsia="Arial" w:hAnsi="Arial"/>
          <w:b w:val="1"/>
          <w:sz w:val="22"/>
          <w:szCs w:val="22"/>
        </w:rPr>
      </w:pPr>
      <w:r w:rsidDel="00000000" w:rsidR="00000000" w:rsidRPr="00000000">
        <w:rPr>
          <w:rtl w:val="0"/>
        </w:rPr>
      </w:r>
    </w:p>
    <w:tbl>
      <w:tblPr>
        <w:tblStyle w:val="Table2"/>
        <w:tblW w:w="9510.0" w:type="dxa"/>
        <w:jc w:val="left"/>
        <w:tblInd w:w="10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510"/>
        <w:tblGridChange w:id="0">
          <w:tblGrid>
            <w:gridCol w:w="9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setting expectations and creating a climate conducive to effective engagement/partnership</w:t>
            </w:r>
          </w:p>
          <w:p w:rsidR="00000000" w:rsidDel="00000000" w:rsidP="00000000" w:rsidRDefault="00000000" w:rsidRPr="00000000" w14:paraId="0000002D">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implementation, the Board acknowledges the importance of administrative leadership at all</w:t>
            </w:r>
          </w:p>
          <w:p w:rsidR="00000000" w:rsidDel="00000000" w:rsidP="00000000" w:rsidRDefault="00000000" w:rsidRPr="00000000" w14:paraId="0000002E">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levels, including its own. Therefore, the Board directs the Department to establish an</w:t>
            </w:r>
          </w:p>
          <w:p w:rsidR="00000000" w:rsidDel="00000000" w:rsidP="00000000" w:rsidRDefault="00000000" w:rsidRPr="00000000" w14:paraId="0000002F">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organizational culture characterized by practices and programs that build and sustain positive</w:t>
            </w:r>
          </w:p>
          <w:p w:rsidR="00000000" w:rsidDel="00000000" w:rsidP="00000000" w:rsidRDefault="00000000" w:rsidRPr="00000000" w14:paraId="00000030">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and engaged relationships with families and communities by: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Building the capacity of staff and families to engage in partnerships;</w:t>
            </w:r>
          </w:p>
          <w:p w:rsidR="00000000" w:rsidDel="00000000" w:rsidP="00000000" w:rsidRDefault="00000000" w:rsidRPr="00000000" w14:paraId="00000033">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Aligning with school achievement goals and connecting families to the teaching and</w:t>
            </w:r>
          </w:p>
          <w:p w:rsidR="00000000" w:rsidDel="00000000" w:rsidP="00000000" w:rsidRDefault="00000000" w:rsidRPr="00000000" w14:paraId="00000035">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learning goals for the students;</w:t>
            </w:r>
          </w:p>
          <w:p w:rsidR="00000000" w:rsidDel="00000000" w:rsidP="00000000" w:rsidRDefault="00000000" w:rsidRPr="00000000" w14:paraId="00000036">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Taking a comprehensive and coordinated approach to family school engagement and</w:t>
            </w:r>
          </w:p>
          <w:p w:rsidR="00000000" w:rsidDel="00000000" w:rsidP="00000000" w:rsidRDefault="00000000" w:rsidRPr="00000000" w14:paraId="00000038">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community partnerships;</w:t>
            </w:r>
          </w:p>
          <w:p w:rsidR="00000000" w:rsidDel="00000000" w:rsidP="00000000" w:rsidRDefault="00000000" w:rsidRPr="00000000" w14:paraId="00000039">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Addressing family school engagement/partnership in strategic planning processes;</w:t>
            </w:r>
          </w:p>
          <w:p w:rsidR="00000000" w:rsidDel="00000000" w:rsidP="00000000" w:rsidRDefault="00000000" w:rsidRPr="00000000" w14:paraId="0000003B">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Assigning formal responsibility, accountability and necessary authority for</w:t>
            </w:r>
          </w:p>
          <w:p w:rsidR="00000000" w:rsidDel="00000000" w:rsidP="00000000" w:rsidRDefault="00000000" w:rsidRPr="00000000" w14:paraId="0000003D">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engagement/partnership implementation to appropriate staff at the State, Complex Area</w:t>
            </w:r>
          </w:p>
          <w:p w:rsidR="00000000" w:rsidDel="00000000" w:rsidP="00000000" w:rsidRDefault="00000000" w:rsidRPr="00000000" w14:paraId="0000003E">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and School levels;</w:t>
            </w:r>
          </w:p>
          <w:p w:rsidR="00000000" w:rsidDel="00000000" w:rsidP="00000000" w:rsidRDefault="00000000" w:rsidRPr="00000000" w14:paraId="0000003F">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Embracing the diverse cultures, languages, strengths and needs of all families;</w:t>
            </w:r>
          </w:p>
          <w:p w:rsidR="00000000" w:rsidDel="00000000" w:rsidP="00000000" w:rsidRDefault="00000000" w:rsidRPr="00000000" w14:paraId="00000041">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Providing adequate and appropriate time, resources and opportunities to include families</w:t>
            </w:r>
          </w:p>
          <w:p w:rsidR="00000000" w:rsidDel="00000000" w:rsidP="00000000" w:rsidRDefault="00000000" w:rsidRPr="00000000" w14:paraId="00000043">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in the design, implementation, evaluation and oversight of all relevant programs and</w:t>
            </w:r>
          </w:p>
          <w:p w:rsidR="00000000" w:rsidDel="00000000" w:rsidP="00000000" w:rsidRDefault="00000000" w:rsidRPr="00000000" w14:paraId="00000044">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services.</w:t>
            </w:r>
          </w:p>
          <w:p w:rsidR="00000000" w:rsidDel="00000000" w:rsidP="00000000" w:rsidRDefault="00000000" w:rsidRPr="00000000" w14:paraId="00000045">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Establishing statewide standards, administrative guidelines, associated</w:t>
            </w:r>
          </w:p>
          <w:p w:rsidR="00000000" w:rsidDel="00000000" w:rsidP="00000000" w:rsidRDefault="00000000" w:rsidRPr="00000000" w14:paraId="00000047">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metrics/indicators, timelines and reporting requirements that support the implementation,</w:t>
            </w:r>
          </w:p>
          <w:p w:rsidR="00000000" w:rsidDel="00000000" w:rsidP="00000000" w:rsidRDefault="00000000" w:rsidRPr="00000000" w14:paraId="00000048">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monitoring and evaluation of family and community engagement/partnerships based</w:t>
            </w:r>
          </w:p>
          <w:p w:rsidR="00000000" w:rsidDel="00000000" w:rsidP="00000000" w:rsidRDefault="00000000" w:rsidRPr="00000000" w14:paraId="00000049">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upon national evidence-based best practices including, but not limited to:</w:t>
            </w:r>
          </w:p>
          <w:p w:rsidR="00000000" w:rsidDel="00000000" w:rsidP="00000000" w:rsidRDefault="00000000" w:rsidRPr="00000000" w14:paraId="0000004A">
            <w:pPr>
              <w:ind w:left="72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B">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ind w:left="0" w:firstLine="0"/>
        <w:rPr>
          <w:rFonts w:ascii="Arial" w:cs="Arial" w:eastAsia="Arial" w:hAnsi="Arial"/>
          <w:sz w:val="22"/>
          <w:szCs w:val="22"/>
        </w:rPr>
      </w:pPr>
      <w:r w:rsidDel="00000000" w:rsidR="00000000" w:rsidRPr="00000000">
        <w:rPr>
          <w:rtl w:val="0"/>
        </w:rPr>
      </w:r>
    </w:p>
    <w:tbl>
      <w:tblPr>
        <w:tblStyle w:val="Table3"/>
        <w:tblW w:w="9705.0" w:type="dxa"/>
        <w:jc w:val="left"/>
        <w:tblInd w:w="10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705"/>
        <w:tblGridChange w:id="0">
          <w:tblGrid>
            <w:gridCol w:w="9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Standard 1: Welcoming all families into the school community—Families are</w:t>
            </w:r>
          </w:p>
          <w:p w:rsidR="00000000" w:rsidDel="00000000" w:rsidP="00000000" w:rsidRDefault="00000000" w:rsidRPr="00000000" w14:paraId="00000050">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active participants in the life of the school and feel welcomed, valued, and</w:t>
            </w:r>
          </w:p>
          <w:p w:rsidR="00000000" w:rsidDel="00000000" w:rsidP="00000000" w:rsidRDefault="00000000" w:rsidRPr="00000000" w14:paraId="00000051">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connected to each other, to school staff, and to what students are learning and</w:t>
            </w:r>
          </w:p>
          <w:p w:rsidR="00000000" w:rsidDel="00000000" w:rsidP="00000000" w:rsidRDefault="00000000" w:rsidRPr="00000000" w14:paraId="00000052">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doing in class.</w:t>
            </w:r>
          </w:p>
          <w:p w:rsidR="00000000" w:rsidDel="00000000" w:rsidP="00000000" w:rsidRDefault="00000000" w:rsidRPr="00000000" w14:paraId="00000053">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Standard 2: Communicating effectively—Families and school staff engage in</w:t>
            </w:r>
          </w:p>
          <w:p w:rsidR="00000000" w:rsidDel="00000000" w:rsidP="00000000" w:rsidRDefault="00000000" w:rsidRPr="00000000" w14:paraId="00000055">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regular two-way, meaningful communication about student learning.</w:t>
            </w:r>
          </w:p>
          <w:p w:rsidR="00000000" w:rsidDel="00000000" w:rsidP="00000000" w:rsidRDefault="00000000" w:rsidRPr="00000000" w14:paraId="00000056">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Standard 3: Supporting student success—Families and school staff continuously</w:t>
            </w:r>
          </w:p>
          <w:p w:rsidR="00000000" w:rsidDel="00000000" w:rsidP="00000000" w:rsidRDefault="00000000" w:rsidRPr="00000000" w14:paraId="00000058">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partner to support students’ learning and healthy development both at home and</w:t>
            </w:r>
          </w:p>
          <w:p w:rsidR="00000000" w:rsidDel="00000000" w:rsidP="00000000" w:rsidRDefault="00000000" w:rsidRPr="00000000" w14:paraId="00000059">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at school, and have regular opportunities to strengthen their knowledge and skills</w:t>
            </w:r>
          </w:p>
          <w:p w:rsidR="00000000" w:rsidDel="00000000" w:rsidP="00000000" w:rsidRDefault="00000000" w:rsidRPr="00000000" w14:paraId="0000005A">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to do so effectively.</w:t>
            </w:r>
          </w:p>
          <w:p w:rsidR="00000000" w:rsidDel="00000000" w:rsidP="00000000" w:rsidRDefault="00000000" w:rsidRPr="00000000" w14:paraId="0000005B">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Standard 4: Speaking up for every child—Families are empowered to be</w:t>
            </w:r>
          </w:p>
          <w:p w:rsidR="00000000" w:rsidDel="00000000" w:rsidP="00000000" w:rsidRDefault="00000000" w:rsidRPr="00000000" w14:paraId="0000005D">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advocates for their own and other children, to ensure that students are treated</w:t>
            </w:r>
          </w:p>
          <w:p w:rsidR="00000000" w:rsidDel="00000000" w:rsidP="00000000" w:rsidRDefault="00000000" w:rsidRPr="00000000" w14:paraId="0000005E">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fairly and have access to learning opportunities that will support their success.</w:t>
            </w:r>
          </w:p>
          <w:p w:rsidR="00000000" w:rsidDel="00000000" w:rsidP="00000000" w:rsidRDefault="00000000" w:rsidRPr="00000000" w14:paraId="0000005F">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Standard 5: Sharing power—Families and school staff are equal partners in</w:t>
            </w:r>
          </w:p>
          <w:p w:rsidR="00000000" w:rsidDel="00000000" w:rsidP="00000000" w:rsidRDefault="00000000" w:rsidRPr="00000000" w14:paraId="00000061">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decisions that affect children and families and together inform, influence, and</w:t>
            </w:r>
          </w:p>
          <w:p w:rsidR="00000000" w:rsidDel="00000000" w:rsidP="00000000" w:rsidRDefault="00000000" w:rsidRPr="00000000" w14:paraId="00000062">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create policies, practices, and programs.</w:t>
            </w:r>
          </w:p>
          <w:p w:rsidR="00000000" w:rsidDel="00000000" w:rsidP="00000000" w:rsidRDefault="00000000" w:rsidRPr="00000000" w14:paraId="00000063">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Standard 6: Engaging/partnering with community—Families and school staff</w:t>
            </w:r>
          </w:p>
          <w:p w:rsidR="00000000" w:rsidDel="00000000" w:rsidP="00000000" w:rsidRDefault="00000000" w:rsidRPr="00000000" w14:paraId="00000065">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engage/partner with community members to connect students, families, and staff</w:t>
            </w:r>
          </w:p>
          <w:p w:rsidR="00000000" w:rsidDel="00000000" w:rsidP="00000000" w:rsidRDefault="00000000" w:rsidRPr="00000000" w14:paraId="00000066">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to expanded learning opportunities, community services, and civic participation.</w:t>
            </w:r>
          </w:p>
          <w:p w:rsidR="00000000" w:rsidDel="00000000" w:rsidP="00000000" w:rsidRDefault="00000000" w:rsidRPr="00000000" w14:paraId="00000067">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Rationale: The Board of Education (“Board”) recognizes that a child’s growth and educational</w:t>
            </w:r>
          </w:p>
          <w:p w:rsidR="00000000" w:rsidDel="00000000" w:rsidP="00000000" w:rsidRDefault="00000000" w:rsidRPr="00000000" w14:paraId="00000069">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success are responsibilities and goals shared by the Department of Education (“Department”),</w:t>
            </w:r>
          </w:p>
          <w:p w:rsidR="00000000" w:rsidDel="00000000" w:rsidP="00000000" w:rsidRDefault="00000000" w:rsidRPr="00000000" w14:paraId="0000006A">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communities, schools and families. It follows that achievement of these goals depends on the</w:t>
            </w:r>
          </w:p>
          <w:p w:rsidR="00000000" w:rsidDel="00000000" w:rsidP="00000000" w:rsidRDefault="00000000" w:rsidRPr="00000000" w14:paraId="0000006B">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establishment of a broad array of informed partnerships among stakeholders that address the</w:t>
            </w:r>
          </w:p>
          <w:p w:rsidR="00000000" w:rsidDel="00000000" w:rsidP="00000000" w:rsidRDefault="00000000" w:rsidRPr="00000000" w14:paraId="0000006C">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strengths and needs of all students.</w:t>
            </w:r>
          </w:p>
          <w:p w:rsidR="00000000" w:rsidDel="00000000" w:rsidP="00000000" w:rsidRDefault="00000000" w:rsidRPr="00000000" w14:paraId="0000006D">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[Approved: 06/16/2015 (as Board Policy 101.14); amended: 06/21/2016 (renumbered as Board</w:t>
            </w:r>
          </w:p>
          <w:p w:rsidR="00000000" w:rsidDel="00000000" w:rsidP="00000000" w:rsidRDefault="00000000" w:rsidRPr="00000000" w14:paraId="0000006F">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Policy 101-14)]</w:t>
            </w:r>
          </w:p>
          <w:p w:rsidR="00000000" w:rsidDel="00000000" w:rsidP="00000000" w:rsidRDefault="00000000" w:rsidRPr="00000000" w14:paraId="00000070">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Former policy 2403 history: approved: 05/03/2001; revised: 09/18/2003</w:t>
            </w:r>
          </w:p>
          <w:p w:rsidR="00000000" w:rsidDel="00000000" w:rsidP="00000000" w:rsidRDefault="00000000" w:rsidRPr="00000000" w14:paraId="00000072">
            <w:pPr>
              <w:ind w:left="72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3">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sz w:val="18"/>
          <w:szCs w:val="18"/>
        </w:rPr>
      </w:pPr>
      <w:r w:rsidDel="00000000" w:rsidR="00000000" w:rsidRPr="00000000">
        <w:rPr>
          <w:rtl w:val="0"/>
        </w:rPr>
      </w:r>
    </w:p>
    <w:p w:rsidR="00000000" w:rsidDel="00000000" w:rsidP="00000000" w:rsidRDefault="00000000" w:rsidRPr="00000000" w14:paraId="0000008B">
      <w:pPr>
        <w:rPr>
          <w:sz w:val="18"/>
          <w:szCs w:val="18"/>
        </w:rPr>
      </w:pPr>
      <w:r w:rsidDel="00000000" w:rsidR="00000000" w:rsidRPr="00000000">
        <w:rPr>
          <w:rtl w:val="0"/>
        </w:rPr>
      </w:r>
    </w:p>
    <w:p w:rsidR="00000000" w:rsidDel="00000000" w:rsidP="00000000" w:rsidRDefault="00000000" w:rsidRPr="00000000" w14:paraId="0000008C">
      <w:pPr>
        <w:rPr>
          <w:sz w:val="18"/>
          <w:szCs w:val="18"/>
        </w:rPr>
      </w:pPr>
      <w:r w:rsidDel="00000000" w:rsidR="00000000" w:rsidRPr="00000000">
        <w:rPr>
          <w:rtl w:val="0"/>
        </w:rPr>
      </w:r>
    </w:p>
    <w:p w:rsidR="00000000" w:rsidDel="00000000" w:rsidP="00000000" w:rsidRDefault="00000000" w:rsidRPr="00000000" w14:paraId="0000008D">
      <w:pPr>
        <w:rPr>
          <w:sz w:val="18"/>
          <w:szCs w:val="18"/>
        </w:rPr>
      </w:pPr>
      <w:r w:rsidDel="00000000" w:rsidR="00000000" w:rsidRPr="00000000">
        <w:rPr>
          <w:rtl w:val="0"/>
        </w:rPr>
      </w:r>
    </w:p>
    <w:p w:rsidR="00000000" w:rsidDel="00000000" w:rsidP="00000000" w:rsidRDefault="00000000" w:rsidRPr="00000000" w14:paraId="0000008E">
      <w:pPr>
        <w:rPr>
          <w:sz w:val="18"/>
          <w:szCs w:val="18"/>
        </w:rPr>
      </w:pPr>
      <w:r w:rsidDel="00000000" w:rsidR="00000000" w:rsidRPr="00000000">
        <w:rPr>
          <w:rtl w:val="0"/>
        </w:rPr>
      </w:r>
    </w:p>
    <w:p w:rsidR="00000000" w:rsidDel="00000000" w:rsidP="00000000" w:rsidRDefault="00000000" w:rsidRPr="00000000" w14:paraId="0000008F">
      <w:pPr>
        <w:rPr>
          <w:sz w:val="18"/>
          <w:szCs w:val="18"/>
        </w:rPr>
      </w:pPr>
      <w:r w:rsidDel="00000000" w:rsidR="00000000" w:rsidRPr="00000000">
        <w:rPr>
          <w:rtl w:val="0"/>
        </w:rPr>
      </w:r>
    </w:p>
    <w:p w:rsidR="00000000" w:rsidDel="00000000" w:rsidP="00000000" w:rsidRDefault="00000000" w:rsidRPr="00000000" w14:paraId="00000090">
      <w:pPr>
        <w:rPr>
          <w:sz w:val="18"/>
          <w:szCs w:val="18"/>
        </w:rPr>
      </w:pPr>
      <w:r w:rsidDel="00000000" w:rsidR="00000000" w:rsidRPr="00000000">
        <w:rPr>
          <w:rtl w:val="0"/>
        </w:rPr>
      </w:r>
    </w:p>
    <w:p w:rsidR="00000000" w:rsidDel="00000000" w:rsidP="00000000" w:rsidRDefault="00000000" w:rsidRPr="00000000" w14:paraId="00000091">
      <w:pPr>
        <w:rPr>
          <w:sz w:val="18"/>
          <w:szCs w:val="18"/>
        </w:rPr>
      </w:pPr>
      <w:r w:rsidDel="00000000" w:rsidR="00000000" w:rsidRPr="00000000">
        <w:rPr>
          <w:rtl w:val="0"/>
        </w:rPr>
      </w:r>
    </w:p>
    <w:p w:rsidR="00000000" w:rsidDel="00000000" w:rsidP="00000000" w:rsidRDefault="00000000" w:rsidRPr="00000000" w14:paraId="00000092">
      <w:pPr>
        <w:rPr>
          <w:sz w:val="18"/>
          <w:szCs w:val="18"/>
        </w:rPr>
      </w:pPr>
      <w:r w:rsidDel="00000000" w:rsidR="00000000" w:rsidRPr="00000000">
        <w:rPr>
          <w:rtl w:val="0"/>
        </w:rPr>
      </w:r>
    </w:p>
    <w:p w:rsidR="00000000" w:rsidDel="00000000" w:rsidP="00000000" w:rsidRDefault="00000000" w:rsidRPr="00000000" w14:paraId="00000093">
      <w:pPr>
        <w:rPr>
          <w:sz w:val="18"/>
          <w:szCs w:val="18"/>
        </w:rPr>
      </w:pPr>
      <w:r w:rsidDel="00000000" w:rsidR="00000000" w:rsidRPr="00000000">
        <w:rPr>
          <w:rtl w:val="0"/>
        </w:rPr>
      </w:r>
    </w:p>
    <w:p w:rsidR="00000000" w:rsidDel="00000000" w:rsidP="00000000" w:rsidRDefault="00000000" w:rsidRPr="00000000" w14:paraId="00000094">
      <w:pPr>
        <w:rPr>
          <w:sz w:val="18"/>
          <w:szCs w:val="18"/>
        </w:rPr>
      </w:pPr>
      <w:r w:rsidDel="00000000" w:rsidR="00000000" w:rsidRPr="00000000">
        <w:rPr>
          <w:rtl w:val="0"/>
        </w:rPr>
      </w:r>
    </w:p>
    <w:p w:rsidR="00000000" w:rsidDel="00000000" w:rsidP="00000000" w:rsidRDefault="00000000" w:rsidRPr="00000000" w14:paraId="00000095">
      <w:pPr>
        <w:rPr>
          <w:sz w:val="18"/>
          <w:szCs w:val="18"/>
        </w:rPr>
      </w:pPr>
      <w:r w:rsidDel="00000000" w:rsidR="00000000" w:rsidRPr="00000000">
        <w:rPr>
          <w:rtl w:val="0"/>
        </w:rPr>
      </w:r>
    </w:p>
    <w:p w:rsidR="00000000" w:rsidDel="00000000" w:rsidP="00000000" w:rsidRDefault="00000000" w:rsidRPr="00000000" w14:paraId="00000096">
      <w:pPr>
        <w:rPr>
          <w:sz w:val="18"/>
          <w:szCs w:val="18"/>
        </w:rPr>
      </w:pPr>
      <w:r w:rsidDel="00000000" w:rsidR="00000000" w:rsidRPr="00000000">
        <w:rPr>
          <w:rtl w:val="0"/>
        </w:rPr>
      </w:r>
    </w:p>
    <w:p w:rsidR="00000000" w:rsidDel="00000000" w:rsidP="00000000" w:rsidRDefault="00000000" w:rsidRPr="00000000" w14:paraId="00000097">
      <w:pPr>
        <w:rPr>
          <w:sz w:val="18"/>
          <w:szCs w:val="18"/>
        </w:rPr>
      </w:pPr>
      <w:r w:rsidDel="00000000" w:rsidR="00000000" w:rsidRPr="00000000">
        <w:rPr>
          <w:rtl w:val="0"/>
        </w:rPr>
      </w:r>
    </w:p>
    <w:p w:rsidR="00000000" w:rsidDel="00000000" w:rsidP="00000000" w:rsidRDefault="00000000" w:rsidRPr="00000000" w14:paraId="00000098">
      <w:pPr>
        <w:rPr>
          <w:sz w:val="18"/>
          <w:szCs w:val="18"/>
        </w:rPr>
      </w:pPr>
      <w:r w:rsidDel="00000000" w:rsidR="00000000" w:rsidRPr="00000000">
        <w:rPr>
          <w:rtl w:val="0"/>
        </w:rPr>
      </w:r>
    </w:p>
    <w:p w:rsidR="00000000" w:rsidDel="00000000" w:rsidP="00000000" w:rsidRDefault="00000000" w:rsidRPr="00000000" w14:paraId="00000099">
      <w:pPr>
        <w:rPr>
          <w:sz w:val="18"/>
          <w:szCs w:val="18"/>
        </w:rPr>
      </w:pPr>
      <w:r w:rsidDel="00000000" w:rsidR="00000000" w:rsidRPr="00000000">
        <w:rPr>
          <w:rtl w:val="0"/>
        </w:rPr>
      </w:r>
    </w:p>
    <w:p w:rsidR="00000000" w:rsidDel="00000000" w:rsidP="00000000" w:rsidRDefault="00000000" w:rsidRPr="00000000" w14:paraId="0000009A">
      <w:pPr>
        <w:rPr>
          <w:sz w:val="18"/>
          <w:szCs w:val="18"/>
        </w:rPr>
      </w:pPr>
      <w:r w:rsidDel="00000000" w:rsidR="00000000" w:rsidRPr="00000000">
        <w:rPr>
          <w:rtl w:val="0"/>
        </w:rPr>
      </w:r>
    </w:p>
    <w:p w:rsidR="00000000" w:rsidDel="00000000" w:rsidP="00000000" w:rsidRDefault="00000000" w:rsidRPr="00000000" w14:paraId="0000009B">
      <w:pPr>
        <w:rPr>
          <w:sz w:val="18"/>
          <w:szCs w:val="18"/>
        </w:rPr>
      </w:pPr>
      <w:r w:rsidDel="00000000" w:rsidR="00000000" w:rsidRPr="00000000">
        <w:rPr>
          <w:rtl w:val="0"/>
        </w:rPr>
      </w:r>
    </w:p>
    <w:p w:rsidR="00000000" w:rsidDel="00000000" w:rsidP="00000000" w:rsidRDefault="00000000" w:rsidRPr="00000000" w14:paraId="0000009C">
      <w:pPr>
        <w:rPr>
          <w:sz w:val="18"/>
          <w:szCs w:val="18"/>
        </w:rPr>
      </w:pPr>
      <w:r w:rsidDel="00000000" w:rsidR="00000000" w:rsidRPr="00000000">
        <w:rPr>
          <w:rtl w:val="0"/>
        </w:rPr>
      </w:r>
    </w:p>
    <w:p w:rsidR="00000000" w:rsidDel="00000000" w:rsidP="00000000" w:rsidRDefault="00000000" w:rsidRPr="00000000" w14:paraId="0000009D">
      <w:pPr>
        <w:rPr>
          <w:sz w:val="18"/>
          <w:szCs w:val="18"/>
        </w:rPr>
      </w:pPr>
      <w:r w:rsidDel="00000000" w:rsidR="00000000" w:rsidRPr="00000000">
        <w:rPr>
          <w:rtl w:val="0"/>
        </w:rPr>
      </w:r>
    </w:p>
    <w:p w:rsidR="00000000" w:rsidDel="00000000" w:rsidP="00000000" w:rsidRDefault="00000000" w:rsidRPr="00000000" w14:paraId="0000009E">
      <w:pPr>
        <w:rPr>
          <w:sz w:val="18"/>
          <w:szCs w:val="18"/>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footerReference r:id="rId8" w:type="default"/>
      <w:pgSz w:h="15840" w:w="12240" w:orient="portrait"/>
      <w:pgMar w:bottom="230" w:top="360" w:left="450" w:right="446"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color w:val="404040"/>
        <w:sz w:val="18"/>
        <w:szCs w:val="18"/>
      </w:rPr>
    </w:pPr>
    <w:r w:rsidDel="00000000" w:rsidR="00000000" w:rsidRPr="00000000">
      <w:rPr>
        <w:color w:val="404040"/>
        <w:sz w:val="18"/>
        <w:szCs w:val="18"/>
        <w:rtl w:val="0"/>
      </w:rPr>
      <w:t xml:space="preserve">The Hawaii State Department of Education (HIDOE) and its schools do not discriminate on the basis of race, sex, age, color, national origin, religion or disability in its programs and activities.  Please direct inquiries regarding HIDOE nondiscrimination policies as follows: </w:t>
    </w:r>
    <w:r w:rsidDel="00000000" w:rsidR="00000000" w:rsidRPr="00000000">
      <w:rPr>
        <w:color w:val="404040"/>
        <w:sz w:val="18"/>
        <w:szCs w:val="18"/>
        <w:u w:val="single"/>
        <w:rtl w:val="0"/>
      </w:rPr>
      <w:t xml:space="preserve">ADA/Section 504 inquiries</w:t>
    </w:r>
    <w:r w:rsidDel="00000000" w:rsidR="00000000" w:rsidRPr="00000000">
      <w:rPr>
        <w:color w:val="404040"/>
        <w:sz w:val="18"/>
        <w:szCs w:val="18"/>
        <w:rtl w:val="0"/>
      </w:rPr>
      <w:t xml:space="preserve">:  Krysti Sukita, ADA/504 Specialist, Civil Rights Compliance Office, Hawaii State Department of Education, PO Box 2360, Honolulu, Hawaii, (808) 586-3322 or relay, </w:t>
    </w:r>
    <w:hyperlink r:id="rId1">
      <w:r w:rsidDel="00000000" w:rsidR="00000000" w:rsidRPr="00000000">
        <w:rPr>
          <w:color w:val="404040"/>
          <w:sz w:val="18"/>
          <w:szCs w:val="18"/>
          <w:u w:val="single"/>
          <w:rtl w:val="0"/>
        </w:rPr>
        <w:t xml:space="preserve">crco@notes.k12.hi.us</w:t>
      </w:r>
    </w:hyperlink>
    <w:r w:rsidDel="00000000" w:rsidR="00000000" w:rsidRPr="00000000">
      <w:rPr>
        <w:color w:val="404040"/>
        <w:sz w:val="18"/>
        <w:szCs w:val="18"/>
        <w:rtl w:val="0"/>
      </w:rPr>
      <w:t xml:space="preserve">.  </w:t>
    </w:r>
    <w:r w:rsidDel="00000000" w:rsidR="00000000" w:rsidRPr="00000000">
      <w:rPr>
        <w:color w:val="404040"/>
        <w:sz w:val="18"/>
        <w:szCs w:val="18"/>
        <w:u w:val="single"/>
        <w:rtl w:val="0"/>
      </w:rPr>
      <w:t xml:space="preserve">Title VI, Title IX, and other inquiries</w:t>
    </w:r>
    <w:r w:rsidDel="00000000" w:rsidR="00000000" w:rsidRPr="00000000">
      <w:rPr>
        <w:color w:val="404040"/>
        <w:sz w:val="18"/>
        <w:szCs w:val="18"/>
        <w:rtl w:val="0"/>
      </w:rPr>
      <w:t xml:space="preserve">: Anne Marie Puglisi, Director, Civil Rights Compliance Office, Hawaii State Department of Education, PO Box 2360, Honolulu, Hawaii, (808) 586-3322 or relay, </w:t>
    </w:r>
    <w:hyperlink r:id="rId2">
      <w:r w:rsidDel="00000000" w:rsidR="00000000" w:rsidRPr="00000000">
        <w:rPr>
          <w:color w:val="404040"/>
          <w:sz w:val="18"/>
          <w:szCs w:val="18"/>
          <w:u w:val="single"/>
          <w:rtl w:val="0"/>
        </w:rPr>
        <w:t xml:space="preserve">crco@notes.k12.hi.us</w:t>
      </w:r>
    </w:hyperlink>
    <w:r w:rsidDel="00000000" w:rsidR="00000000" w:rsidRPr="00000000">
      <w:rPr>
        <w:color w:val="404040"/>
        <w:sz w:val="18"/>
        <w:szCs w:val="18"/>
        <w:rtl w:val="0"/>
      </w:rPr>
      <w:t xml:space="preserve">. (3/16/18 CRCO).</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 AFFIRMATIVE ACTION AND EQUAL OPPORTUNITY EMPLOYER</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86795"/>
    <w:pPr>
      <w:spacing w:after="0" w:line="240" w:lineRule="auto"/>
    </w:pPr>
    <w:rPr>
      <w:rFonts w:ascii="Times New Roman" w:cs="Times New Roman" w:eastAsia="Times New Roman" w:hAnsi="Times New Roman"/>
      <w:sz w:val="24"/>
      <w:szCs w:val="20"/>
    </w:rPr>
  </w:style>
  <w:style w:type="paragraph" w:styleId="Heading1">
    <w:name w:val="heading 1"/>
    <w:basedOn w:val="Normal"/>
    <w:next w:val="Normal"/>
    <w:link w:val="Heading1Char"/>
    <w:qFormat w:val="1"/>
    <w:rsid w:val="00186795"/>
    <w:pPr>
      <w:keepNext w:val="1"/>
      <w:jc w:val="center"/>
      <w:outlineLvl w:val="0"/>
    </w:pPr>
    <w:rPr>
      <w:rFonts w:ascii="Arial" w:hAnsi="Arial"/>
      <w:b w:val="1"/>
    </w:rPr>
  </w:style>
  <w:style w:type="paragraph" w:styleId="Heading3">
    <w:name w:val="heading 3"/>
    <w:basedOn w:val="Normal"/>
    <w:next w:val="Normal"/>
    <w:link w:val="Heading3Char"/>
    <w:uiPriority w:val="9"/>
    <w:unhideWhenUsed w:val="1"/>
    <w:qFormat w:val="1"/>
    <w:rsid w:val="00186795"/>
    <w:pPr>
      <w:keepNext w:val="1"/>
      <w:spacing w:after="60" w:before="240"/>
      <w:outlineLvl w:val="2"/>
    </w:pPr>
    <w:rPr>
      <w:rFonts w:asciiTheme="majorHAnsi" w:cstheme="majorBidi" w:eastAsiaTheme="majorEastAsia" w:hAnsiTheme="majorHAnsi"/>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186795"/>
    <w:rPr>
      <w:rFonts w:ascii="Arial" w:cs="Times New Roman" w:eastAsia="Times New Roman" w:hAnsi="Arial"/>
      <w:b w:val="1"/>
      <w:sz w:val="24"/>
      <w:szCs w:val="20"/>
    </w:rPr>
  </w:style>
  <w:style w:type="character" w:styleId="Heading3Char" w:customStyle="1">
    <w:name w:val="Heading 3 Char"/>
    <w:basedOn w:val="DefaultParagraphFont"/>
    <w:link w:val="Heading3"/>
    <w:uiPriority w:val="9"/>
    <w:rsid w:val="00186795"/>
    <w:rPr>
      <w:rFonts w:asciiTheme="majorHAnsi" w:cstheme="majorBidi" w:eastAsiaTheme="majorEastAsia" w:hAnsiTheme="majorHAnsi"/>
      <w:b w:val="1"/>
      <w:bCs w:val="1"/>
      <w:sz w:val="26"/>
      <w:szCs w:val="26"/>
    </w:rPr>
  </w:style>
  <w:style w:type="paragraph" w:styleId="Footer">
    <w:name w:val="footer"/>
    <w:basedOn w:val="Normal"/>
    <w:link w:val="FooterChar"/>
    <w:rsid w:val="00186795"/>
    <w:pPr>
      <w:tabs>
        <w:tab w:val="center" w:pos="4320"/>
        <w:tab w:val="right" w:pos="8640"/>
      </w:tabs>
    </w:pPr>
  </w:style>
  <w:style w:type="character" w:styleId="FooterChar" w:customStyle="1">
    <w:name w:val="Footer Char"/>
    <w:basedOn w:val="DefaultParagraphFont"/>
    <w:link w:val="Footer"/>
    <w:rsid w:val="00186795"/>
    <w:rPr>
      <w:rFonts w:ascii="Times New Roman" w:cs="Times New Roman" w:eastAsia="Times New Roman" w:hAnsi="Times New Roman"/>
      <w:sz w:val="24"/>
      <w:szCs w:val="20"/>
    </w:rPr>
  </w:style>
  <w:style w:type="paragraph" w:styleId="BalloonText">
    <w:name w:val="Balloon Text"/>
    <w:basedOn w:val="Normal"/>
    <w:link w:val="BalloonTextChar"/>
    <w:uiPriority w:val="99"/>
    <w:semiHidden w:val="1"/>
    <w:unhideWhenUsed w:val="1"/>
    <w:rsid w:val="0018679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6795"/>
    <w:rPr>
      <w:rFonts w:ascii="Tahoma" w:cs="Tahoma" w:eastAsia="Times New Roman" w:hAnsi="Tahoma"/>
      <w:sz w:val="16"/>
      <w:szCs w:val="16"/>
    </w:rPr>
  </w:style>
  <w:style w:type="character" w:styleId="Hyperlink">
    <w:name w:val="Hyperlink"/>
    <w:basedOn w:val="DefaultParagraphFont"/>
    <w:uiPriority w:val="99"/>
    <w:unhideWhenUsed w:val="1"/>
    <w:rsid w:val="0037763D"/>
    <w:rPr>
      <w:color w:val="0000ff" w:themeColor="hyperlink"/>
      <w:u w:val="single"/>
    </w:rPr>
  </w:style>
  <w:style w:type="paragraph" w:styleId="Header">
    <w:name w:val="header"/>
    <w:basedOn w:val="Normal"/>
    <w:link w:val="HeaderChar"/>
    <w:uiPriority w:val="99"/>
    <w:semiHidden w:val="1"/>
    <w:unhideWhenUsed w:val="1"/>
    <w:rsid w:val="00932452"/>
    <w:pPr>
      <w:tabs>
        <w:tab w:val="center" w:pos="4680"/>
        <w:tab w:val="right" w:pos="9360"/>
      </w:tabs>
    </w:pPr>
  </w:style>
  <w:style w:type="character" w:styleId="HeaderChar" w:customStyle="1">
    <w:name w:val="Header Char"/>
    <w:basedOn w:val="DefaultParagraphFont"/>
    <w:link w:val="Header"/>
    <w:uiPriority w:val="99"/>
    <w:semiHidden w:val="1"/>
    <w:rsid w:val="00932452"/>
    <w:rPr>
      <w:rFonts w:ascii="Times New Roman" w:cs="Times New Roman" w:eastAsia="Times New Roman" w:hAnsi="Times New Roman"/>
      <w:sz w:val="24"/>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rco@notes.k12.hi.us" TargetMode="External"/><Relationship Id="rId2" Type="http://schemas.openxmlformats.org/officeDocument/2006/relationships/hyperlink" Target="mailto:crco@notes.k12.h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5QYtmGwa8YwmWbWiw8aXT1aMQ==">AMUW2mWayppESziAa2RHYNYCvpsNttLiy+syaZe/LTgf+4vy4luHwxahDL2x4F2xCyCyVlHDJKPTg7mXFxDitu5cjs8OnWzir3MocQjXTBvKHZ0DcPCdLq8=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2020-02-20T22:41:00Z</dcterms:created>
  <dc:creator>dcevallos</dc:creator>
</cp:coreProperties>
</file>